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E62F5" w14:textId="7F6417E4" w:rsidR="007F52C8" w:rsidRDefault="00876328" w:rsidP="00ED0464">
      <w:pPr>
        <w:widowControl w:val="0"/>
        <w:spacing w:after="0" w:line="276" w:lineRule="auto"/>
        <w:jc w:val="center"/>
        <w:rPr>
          <w:rStyle w:val="Nessuno"/>
          <w:rFonts w:ascii="Verdana" w:eastAsia="Verdana" w:hAnsi="Verdana" w:cs="Verdana"/>
          <w:b/>
          <w:bCs/>
          <w:sz w:val="24"/>
          <w:szCs w:val="24"/>
        </w:rPr>
      </w:pPr>
      <w:r>
        <w:rPr>
          <w:rStyle w:val="Nessuno"/>
          <w:rFonts w:ascii="Verdana" w:hAnsi="Verdana"/>
          <w:b/>
          <w:bCs/>
          <w:sz w:val="24"/>
          <w:szCs w:val="24"/>
        </w:rPr>
        <w:t>Expo 2025 Osaka: Alcantara impreziosisce il Padiglione Italia con tendaggi che ricordano i noren giapponesi</w:t>
      </w:r>
    </w:p>
    <w:p w14:paraId="4EA712B7" w14:textId="77777777" w:rsidR="007F52C8" w:rsidRDefault="007F52C8">
      <w:pPr>
        <w:widowControl w:val="0"/>
        <w:spacing w:after="0" w:line="276" w:lineRule="auto"/>
        <w:jc w:val="center"/>
        <w:rPr>
          <w:rStyle w:val="Nessuno"/>
          <w:rFonts w:ascii="Verdana" w:eastAsia="Verdana" w:hAnsi="Verdana" w:cs="Verdana"/>
          <w:b/>
          <w:bCs/>
          <w:sz w:val="24"/>
          <w:szCs w:val="24"/>
        </w:rPr>
      </w:pPr>
    </w:p>
    <w:p w14:paraId="7A85DBC8" w14:textId="5A276854"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Il Padiglione Italia a Expo 2025 Osaka dal tema l’Arte Rigenera La Vita, progettato dallo Studio MCA-Mario Cucinella architects, diventa un palcoscenico d’eccezione per Alcantara che ne impreziosisce alcune aree e partizioni. I sipari del Teatro, di un iconico rosso teatrale e i teli che ricordano i noren giapponesi accompagneranno i visitatori lungo la Visitor Experience del Padiglione Italia, concepito come una rivisitazione in chiave moderna della Città Ideale del Rinascimento.</w:t>
      </w:r>
    </w:p>
    <w:p w14:paraId="7C4D77AC" w14:textId="77777777" w:rsidR="007F52C8" w:rsidRDefault="007F52C8">
      <w:pPr>
        <w:widowControl w:val="0"/>
        <w:spacing w:after="0" w:line="276" w:lineRule="auto"/>
        <w:jc w:val="both"/>
        <w:rPr>
          <w:rStyle w:val="Nessuno"/>
          <w:rFonts w:ascii="Verdana" w:eastAsia="Verdana" w:hAnsi="Verdana" w:cs="Verdana"/>
          <w:sz w:val="20"/>
          <w:szCs w:val="20"/>
        </w:rPr>
      </w:pPr>
    </w:p>
    <w:p w14:paraId="42F4F09A" w14:textId="77777777"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"Sperimentazione, Made in Italy, Design: la presenza di Alcantara nel Padiglione Italia porta con sé i tratti distintivi della creatività e della capacità imprenditoriale italiana, raccontando sul palcoscenico globale di Expo una storia di eccellenza e continua innovazione”, ha commentato l’</w:t>
      </w:r>
      <w:r>
        <w:rPr>
          <w:rStyle w:val="Nessuno"/>
          <w:rFonts w:ascii="Verdana" w:hAnsi="Verdana"/>
          <w:b/>
          <w:bCs/>
          <w:sz w:val="20"/>
          <w:szCs w:val="20"/>
        </w:rPr>
        <w:t>Amb. Mario Vattani, Commissario Generale per l’Italia a Expo 2025 Osaka</w:t>
      </w:r>
      <w:r>
        <w:rPr>
          <w:rStyle w:val="Nessuno"/>
          <w:rFonts w:ascii="Verdana" w:hAnsi="Verdana"/>
          <w:sz w:val="20"/>
          <w:szCs w:val="20"/>
        </w:rPr>
        <w:t>. “Alcantara interpreta perfettamente l’immagine dell’Italia che vogliamo raccontare a Expo: un Paese capace di coniugare tradizione e nuove tecnologie, con lo sguardo rivolto al futuro."</w:t>
      </w:r>
    </w:p>
    <w:p w14:paraId="49BF2C2C" w14:textId="77777777" w:rsidR="007F52C8" w:rsidRDefault="007F52C8">
      <w:pPr>
        <w:widowControl w:val="0"/>
        <w:spacing w:after="0" w:line="276" w:lineRule="auto"/>
        <w:jc w:val="both"/>
        <w:rPr>
          <w:rStyle w:val="Nessuno"/>
          <w:rFonts w:ascii="Verdana" w:eastAsia="Verdana" w:hAnsi="Verdana" w:cs="Verdana"/>
          <w:sz w:val="20"/>
          <w:szCs w:val="20"/>
        </w:rPr>
      </w:pPr>
    </w:p>
    <w:p w14:paraId="460E60DC" w14:textId="77777777"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 xml:space="preserve">“Prendere parte ad una iniziativa così prestigiosa come Expo 2025 Osaka ci rende estremamente orgogliosi, e rappresenta per Alcantara una straordinaria occasione per celebrare la bellezza di questo materiale che si è contraddistinto negli anni per la versatilità e la capacità di coniugare tradizione e innovazione all’insegna del valore del Made in Italy.” afferma </w:t>
      </w:r>
      <w:r>
        <w:rPr>
          <w:rStyle w:val="Nessuno"/>
          <w:rFonts w:ascii="Verdana" w:hAnsi="Verdana"/>
          <w:b/>
          <w:bCs/>
          <w:sz w:val="20"/>
          <w:szCs w:val="20"/>
        </w:rPr>
        <w:t>Eugenio Lolli Presidente e CEO di Alcantara</w:t>
      </w:r>
      <w:r>
        <w:rPr>
          <w:rStyle w:val="Nessuno"/>
          <w:rFonts w:ascii="Verdana" w:hAnsi="Verdana"/>
          <w:sz w:val="20"/>
          <w:szCs w:val="20"/>
        </w:rPr>
        <w:t>. “La relazione con partner istituzionali a livello internazionale come il Commissariato Generale per Expo 2025 e Mario Cucinella Architects ci rende ancora più convinti di quanto Alcantara sia il mezzo attraverso il quale far conoscere l’eccellenza italiana in ambito culturale, artistico e tecnologico.”</w:t>
      </w:r>
    </w:p>
    <w:p w14:paraId="30A6BFB3" w14:textId="77777777" w:rsidR="007F52C8" w:rsidRDefault="007F52C8">
      <w:pPr>
        <w:widowControl w:val="0"/>
        <w:spacing w:after="0" w:line="276" w:lineRule="auto"/>
        <w:jc w:val="both"/>
        <w:rPr>
          <w:rStyle w:val="Nessuno"/>
          <w:rFonts w:ascii="Verdana" w:eastAsia="Verdana" w:hAnsi="Verdana" w:cs="Verdana"/>
          <w:sz w:val="20"/>
          <w:szCs w:val="20"/>
        </w:rPr>
      </w:pPr>
    </w:p>
    <w:p w14:paraId="0814FF76" w14:textId="77777777"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 xml:space="preserve">Per incorniciare il grande porticato di accesso al teatro in legno, vera e propria macchina scenica e fulcro del Padiglione, è stata scelta una nuance bordeaux. Fluttuanti tendaggi vengono attraversati dai visitatori in un percorso immersivo che diventa multisensoriale grazie al materiale Made in Italy che appaga la vista ed il tatto. Il Padiglione Italia si articola in spazi tematici ispirati alla Città Ideale: la piazza, luogo di scambio per </w:t>
      </w:r>
      <w:r>
        <w:rPr>
          <w:rStyle w:val="Nessuno"/>
          <w:rFonts w:ascii="Verdana" w:hAnsi="Verdana"/>
          <w:sz w:val="20"/>
          <w:szCs w:val="20"/>
        </w:rPr>
        <w:lastRenderedPageBreak/>
        <w:t>antonomasia, il giardino all’italiana sul tetto e le aree per gli ospiti. La Bilateral Room è impreziosita con partizioni in Alcantara nella nuance Dune con personalizzazione al laser: l’incisione imprime sul materiale, creando un effetto ton sur ton, il logo del Padiglione Italia e riprende il disegno dell’arco che fa da fil rouge a tutta l’Architettura.</w:t>
      </w:r>
    </w:p>
    <w:p w14:paraId="289905A5" w14:textId="77777777" w:rsidR="007F52C8" w:rsidRDefault="007F52C8">
      <w:pPr>
        <w:widowControl w:val="0"/>
        <w:spacing w:after="0" w:line="276" w:lineRule="auto"/>
        <w:jc w:val="both"/>
        <w:rPr>
          <w:rStyle w:val="Nessuno"/>
          <w:rFonts w:ascii="Verdana" w:eastAsia="Verdana" w:hAnsi="Verdana" w:cs="Verdana"/>
          <w:sz w:val="20"/>
          <w:szCs w:val="20"/>
        </w:rPr>
      </w:pPr>
    </w:p>
    <w:p w14:paraId="117A5220" w14:textId="77777777"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A ricordare la forte relazione di Alcantara con il mondo dell’arte e del design sono state scelte alcune opere di Alberto Biasi per impreziosire le pareti di queste aree. Biasi, uno dei massimi esponenti dell’arte cinetica italiana, ha creato 3 varianti di Dinamica Ottica utilizzando “lamelle” di Alcantara, bianca, azzurra e nera.</w:t>
      </w:r>
    </w:p>
    <w:p w14:paraId="1CAD5E88" w14:textId="77777777" w:rsidR="007F52C8" w:rsidRDefault="007F52C8">
      <w:pPr>
        <w:widowControl w:val="0"/>
        <w:spacing w:after="0" w:line="276" w:lineRule="auto"/>
        <w:jc w:val="both"/>
        <w:rPr>
          <w:rStyle w:val="Nessuno"/>
          <w:rFonts w:ascii="Verdana" w:eastAsia="Verdana" w:hAnsi="Verdana" w:cs="Verdana"/>
          <w:sz w:val="20"/>
          <w:szCs w:val="20"/>
        </w:rPr>
      </w:pPr>
    </w:p>
    <w:p w14:paraId="42105721" w14:textId="77777777"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Il Padiglione Italia si propone uno sguardo nuovo e completo sulla identità del paese e, al contempo, è un punto di incontro tra la cultura dell’Italia e quella del Giappone. Nel Padiglione tradizione ed innovazione si intrecceranno e diventano parte attiva dei diversi spazi espositivi. Alcantara sposa appieno i valori espressi da questo progetto: oltre a vantare molteplici partnership con Istituzioni, Ambasciate e grandi eventi internazionali, ha sviluppato negli anni collaborazioni con artisti e realtà museali a livello mondiale, divenendo medium attraverso il quale creativi, architetti e designer esprimono la propria creatività. Il tutto mantenendo sempre fede al suo DNA di materiale che unisce tecnologia, funzionalità, emozione, versatilità e impegno alla sostenibilità.</w:t>
      </w:r>
    </w:p>
    <w:p w14:paraId="07EB7105" w14:textId="77777777" w:rsidR="007F52C8" w:rsidRDefault="007F52C8">
      <w:pPr>
        <w:widowControl w:val="0"/>
        <w:spacing w:after="0" w:line="276" w:lineRule="auto"/>
        <w:jc w:val="both"/>
        <w:rPr>
          <w:rStyle w:val="Nessuno"/>
          <w:rFonts w:ascii="Verdana" w:eastAsia="Verdana" w:hAnsi="Verdana" w:cs="Verdana"/>
          <w:sz w:val="20"/>
          <w:szCs w:val="20"/>
        </w:rPr>
      </w:pPr>
    </w:p>
    <w:p w14:paraId="6E5B9319" w14:textId="77777777"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 xml:space="preserve">Alcantara S.p.A. – </w:t>
      </w:r>
      <w:hyperlink r:id="rId6" w:history="1">
        <w:r>
          <w:rPr>
            <w:rStyle w:val="Hyperlink1"/>
          </w:rPr>
          <w:t>www.alcantara.com</w:t>
        </w:r>
      </w:hyperlink>
      <w:r>
        <w:rPr>
          <w:rStyle w:val="Nessuno"/>
          <w:rFonts w:ascii="Verdana" w:hAnsi="Verdana"/>
          <w:sz w:val="20"/>
          <w:szCs w:val="20"/>
        </w:rPr>
        <w:t xml:space="preserve"> </w:t>
      </w:r>
    </w:p>
    <w:p w14:paraId="57627964" w14:textId="7104A891" w:rsidR="007F52C8" w:rsidRDefault="00876328">
      <w:pPr>
        <w:widowControl w:val="0"/>
        <w:spacing w:after="0" w:line="276" w:lineRule="auto"/>
        <w:jc w:val="both"/>
        <w:rPr>
          <w:rStyle w:val="Nessuno"/>
          <w:rFonts w:ascii="Verdana" w:eastAsia="Verdana" w:hAnsi="Verdana" w:cs="Verdana"/>
          <w:sz w:val="20"/>
          <w:szCs w:val="20"/>
        </w:rPr>
      </w:pPr>
      <w:r>
        <w:rPr>
          <w:rStyle w:val="Nessuno"/>
          <w:rFonts w:ascii="Verdana" w:hAnsi="Verdana"/>
          <w:sz w:val="20"/>
          <w:szCs w:val="20"/>
        </w:rPr>
        <w:t>Fondata nel 1972, Alcantara rappresenta una delle eccellenze del Made in Italy. Marchio registrato di Alcantara S.p.A. e frutto di una tecnologia unica e proprietaria, Alcantara</w:t>
      </w:r>
      <w:r w:rsidRPr="00876328">
        <w:rPr>
          <w:rStyle w:val="Nessuno"/>
          <w:rFonts w:ascii="Verdana" w:hAnsi="Verdana"/>
          <w:sz w:val="20"/>
          <w:szCs w:val="20"/>
          <w:vertAlign w:val="superscript"/>
        </w:rPr>
        <w:t>®</w:t>
      </w:r>
      <w:r>
        <w:rPr>
          <w:rStyle w:val="Nessuno"/>
          <w:rFonts w:ascii="Verdana" w:hAnsi="Verdana"/>
          <w:sz w:val="20"/>
          <w:szCs w:val="20"/>
        </w:rPr>
        <w:t xml:space="preserve"> è un materiale altamente innovativo, potendo offrire una combinazione di sensorialità, estetica e funzionalità che non ha paragoni. Grazie alla sua straordinaria versatilità, Alcantara è la scelta dei brand più prestigiosi in numerosi campi di applicazione: moda e accessori, automotive, interior design e home décor, consumer-electronics. Grazie a queste caratteristiche, unite a un serio e certificato impegno in materia di sostenibilità, Alcantara esprime e definisce lo stile di vita contemporaneo. Dal 2009 Alcantara è certificata Carbon Neutral. La certificazione di Carbon Neutrality si basa sulla compensazione delle emissioni di gas serra</w:t>
      </w:r>
      <w:r>
        <w:rPr>
          <w:rStyle w:val="Nessuno"/>
          <w:rFonts w:ascii="Verdana" w:eastAsia="Verdana" w:hAnsi="Verdana" w:cs="Verdana"/>
          <w:sz w:val="20"/>
          <w:szCs w:val="20"/>
        </w:rPr>
        <w:t xml:space="preserve"> </w:t>
      </w:r>
      <w:r>
        <w:rPr>
          <w:rStyle w:val="Nessuno"/>
          <w:rFonts w:ascii="Verdana" w:hAnsi="Verdana"/>
          <w:sz w:val="20"/>
          <w:szCs w:val="20"/>
        </w:rPr>
        <w:t xml:space="preserve">attraverso l’acquisizione di crediti di carbonio da Progetti di Compensazione Certificati e Verificati. Nella consapevolezza che la compensazione delle emissioni non sia la soluzione finale, siamo </w:t>
      </w:r>
      <w:r>
        <w:rPr>
          <w:rStyle w:val="Nessuno"/>
          <w:rFonts w:ascii="Verdana" w:hAnsi="Verdana"/>
          <w:sz w:val="20"/>
          <w:szCs w:val="20"/>
        </w:rPr>
        <w:lastRenderedPageBreak/>
        <w:t>tuttavia convinti dell’utilità dei crediti di carbonio come strumento per accelerare la lotta al cambiamento climatico, oltre la nostra catena del valore, e per ridurre in modo misurabile le emissioni globali. In aggiunta, i progetti sostenuti da Alcantara ogni anno portano un tangibile beneficio sociale ai territori interessati. Per documentare il percorso dell’azienda in questo ambito, ogni anno Alcantara redige e pubblica il proprio Bilancio di Sostenibilità, certificato da BDO e consultabile anche sul sito aziendale. L’headquarter di Alcantara si trova a Milano, mentre lo stabilimento produttivo e il centro ricerche sono situati a Nera Montoro, nel cuore dell’Umbria (Terni).</w:t>
      </w:r>
    </w:p>
    <w:p w14:paraId="77D7D7D4" w14:textId="77777777" w:rsidR="007F52C8" w:rsidRDefault="007F52C8">
      <w:pPr>
        <w:widowControl w:val="0"/>
        <w:spacing w:after="0" w:line="276" w:lineRule="auto"/>
        <w:jc w:val="both"/>
        <w:rPr>
          <w:rStyle w:val="Nessuno"/>
          <w:rFonts w:ascii="Verdana" w:eastAsia="Verdana" w:hAnsi="Verdana" w:cs="Verdana"/>
          <w:sz w:val="20"/>
          <w:szCs w:val="20"/>
        </w:rPr>
      </w:pPr>
    </w:p>
    <w:p w14:paraId="2E7FCC70" w14:textId="77777777" w:rsidR="007F52C8" w:rsidRDefault="00876328">
      <w:pPr>
        <w:widowControl w:val="0"/>
        <w:spacing w:after="0" w:line="276" w:lineRule="auto"/>
        <w:rPr>
          <w:rStyle w:val="Nessuno"/>
          <w:sz w:val="20"/>
          <w:szCs w:val="20"/>
        </w:rPr>
      </w:pPr>
      <w:r>
        <w:rPr>
          <w:rStyle w:val="Nessuno"/>
          <w:sz w:val="20"/>
          <w:szCs w:val="20"/>
        </w:rPr>
        <w:t>Per ulteriori informazioni:</w:t>
      </w:r>
    </w:p>
    <w:p w14:paraId="77D2B83B" w14:textId="77777777" w:rsidR="007F52C8" w:rsidRDefault="00876328">
      <w:pPr>
        <w:widowControl w:val="0"/>
        <w:spacing w:after="0" w:line="276" w:lineRule="auto"/>
        <w:rPr>
          <w:rStyle w:val="Nessuno"/>
          <w:sz w:val="20"/>
          <w:szCs w:val="20"/>
        </w:rPr>
      </w:pPr>
      <w:hyperlink r:id="rId7" w:history="1">
        <w:r>
          <w:rPr>
            <w:rStyle w:val="Hyperlink2"/>
          </w:rPr>
          <w:t>instagram.com/alcantara_company/</w:t>
        </w:r>
      </w:hyperlink>
      <w:r>
        <w:rPr>
          <w:rStyle w:val="Nessuno"/>
          <w:sz w:val="20"/>
          <w:szCs w:val="20"/>
        </w:rPr>
        <w:t xml:space="preserve"> </w:t>
      </w:r>
    </w:p>
    <w:p w14:paraId="69F29D93" w14:textId="77777777" w:rsidR="007F52C8" w:rsidRDefault="00876328">
      <w:pPr>
        <w:widowControl w:val="0"/>
        <w:spacing w:after="0" w:line="276" w:lineRule="auto"/>
        <w:rPr>
          <w:rStyle w:val="Nessuno"/>
          <w:sz w:val="20"/>
          <w:szCs w:val="20"/>
        </w:rPr>
      </w:pPr>
      <w:hyperlink r:id="rId8" w:history="1">
        <w:r>
          <w:rPr>
            <w:rStyle w:val="Hyperlink2"/>
          </w:rPr>
          <w:t>twitter.com/alcantaraspa</w:t>
        </w:r>
      </w:hyperlink>
      <w:r>
        <w:rPr>
          <w:rStyle w:val="Nessuno"/>
          <w:sz w:val="20"/>
          <w:szCs w:val="20"/>
        </w:rPr>
        <w:t xml:space="preserve"> </w:t>
      </w:r>
    </w:p>
    <w:p w14:paraId="1B941135" w14:textId="77777777" w:rsidR="007F52C8" w:rsidRDefault="00876328">
      <w:pPr>
        <w:widowControl w:val="0"/>
        <w:spacing w:after="0" w:line="276" w:lineRule="auto"/>
        <w:rPr>
          <w:rStyle w:val="Nessuno"/>
          <w:sz w:val="20"/>
          <w:szCs w:val="20"/>
        </w:rPr>
      </w:pPr>
      <w:hyperlink r:id="rId9" w:history="1">
        <w:r>
          <w:rPr>
            <w:rStyle w:val="Hyperlink2"/>
          </w:rPr>
          <w:t>facebook.com/alcantara.company</w:t>
        </w:r>
      </w:hyperlink>
      <w:r>
        <w:rPr>
          <w:rStyle w:val="Nessuno"/>
          <w:sz w:val="20"/>
          <w:szCs w:val="20"/>
        </w:rPr>
        <w:t xml:space="preserve"> </w:t>
      </w:r>
    </w:p>
    <w:p w14:paraId="1A64DAF3" w14:textId="77777777" w:rsidR="007F52C8" w:rsidRDefault="00876328">
      <w:pPr>
        <w:widowControl w:val="0"/>
        <w:spacing w:after="0" w:line="276" w:lineRule="auto"/>
        <w:rPr>
          <w:rStyle w:val="Nessuno"/>
          <w:sz w:val="20"/>
          <w:szCs w:val="20"/>
        </w:rPr>
      </w:pPr>
      <w:hyperlink r:id="rId10" w:history="1">
        <w:r>
          <w:rPr>
            <w:rStyle w:val="Hyperlink2"/>
          </w:rPr>
          <w:t>youtube.com/alcantaracompany</w:t>
        </w:r>
      </w:hyperlink>
      <w:r>
        <w:rPr>
          <w:rStyle w:val="Nessuno"/>
          <w:sz w:val="20"/>
          <w:szCs w:val="20"/>
        </w:rPr>
        <w:t xml:space="preserve"> </w:t>
      </w:r>
    </w:p>
    <w:p w14:paraId="2A3054B3" w14:textId="77777777" w:rsidR="007F52C8" w:rsidRDefault="00876328">
      <w:pPr>
        <w:widowControl w:val="0"/>
        <w:spacing w:after="0" w:line="276" w:lineRule="auto"/>
        <w:rPr>
          <w:rStyle w:val="Nessuno"/>
          <w:sz w:val="20"/>
          <w:szCs w:val="20"/>
        </w:rPr>
      </w:pPr>
      <w:r>
        <w:rPr>
          <w:rStyle w:val="Nessuno"/>
          <w:sz w:val="20"/>
          <w:szCs w:val="20"/>
        </w:rPr>
        <w:t xml:space="preserve">Per scaricare il press kit: </w:t>
      </w:r>
      <w:hyperlink r:id="rId11" w:history="1">
        <w:r>
          <w:rPr>
            <w:rStyle w:val="Hyperlink2"/>
          </w:rPr>
          <w:t>https://www.alcantara.com/press-area/</w:t>
        </w:r>
      </w:hyperlink>
      <w:r>
        <w:rPr>
          <w:rStyle w:val="Nessuno"/>
          <w:sz w:val="20"/>
          <w:szCs w:val="20"/>
        </w:rPr>
        <w:t xml:space="preserve"> </w:t>
      </w:r>
    </w:p>
    <w:p w14:paraId="1B2E2841" w14:textId="77777777" w:rsidR="007F52C8" w:rsidRDefault="007F52C8">
      <w:pPr>
        <w:widowControl w:val="0"/>
        <w:spacing w:after="0" w:line="276" w:lineRule="auto"/>
      </w:pPr>
    </w:p>
    <w:p w14:paraId="54CAF531" w14:textId="77777777" w:rsidR="007F52C8" w:rsidRDefault="007F52C8">
      <w:pPr>
        <w:widowControl w:val="0"/>
        <w:spacing w:after="0" w:line="276" w:lineRule="auto"/>
        <w:jc w:val="both"/>
        <w:rPr>
          <w:rStyle w:val="Nessuno"/>
          <w:rFonts w:ascii="Verdana" w:eastAsia="Verdana" w:hAnsi="Verdana" w:cs="Verdana"/>
          <w:sz w:val="20"/>
          <w:szCs w:val="20"/>
        </w:rPr>
      </w:pPr>
    </w:p>
    <w:p w14:paraId="092D3FC2" w14:textId="77777777" w:rsidR="007F52C8" w:rsidRDefault="00876328">
      <w:pPr>
        <w:widowControl w:val="0"/>
        <w:spacing w:after="0" w:line="276" w:lineRule="auto"/>
        <w:rPr>
          <w:rStyle w:val="Nessuno"/>
          <w:rFonts w:ascii="Verdana" w:eastAsia="Verdana" w:hAnsi="Verdana" w:cs="Verdana"/>
          <w:sz w:val="20"/>
          <w:szCs w:val="20"/>
        </w:rPr>
      </w:pPr>
      <w:r>
        <w:rPr>
          <w:rStyle w:val="Nessuno"/>
          <w:noProof/>
        </w:rPr>
        <mc:AlternateContent>
          <mc:Choice Requires="wps">
            <w:drawing>
              <wp:inline distT="0" distB="0" distL="0" distR="0" wp14:anchorId="01F62C4B" wp14:editId="5C0DDC29">
                <wp:extent cx="4676013" cy="14988"/>
                <wp:effectExtent l="0" t="0" r="0" b="0"/>
                <wp:docPr id="1073741828" name="officeArt object" descr="Rettangolo"/>
                <wp:cNvGraphicFramePr/>
                <a:graphic xmlns:a="http://schemas.openxmlformats.org/drawingml/2006/main">
                  <a:graphicData uri="http://schemas.microsoft.com/office/word/2010/wordprocessingShape">
                    <wps:wsp>
                      <wps:cNvSpPr/>
                      <wps:spPr>
                        <a:xfrm>
                          <a:off x="0" y="0"/>
                          <a:ext cx="4676013" cy="14988"/>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368.2pt;height:1.2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14:paraId="27F3989F" w14:textId="77777777" w:rsidR="007F52C8" w:rsidRDefault="007F52C8">
      <w:pPr>
        <w:spacing w:line="276" w:lineRule="auto"/>
        <w:jc w:val="both"/>
        <w:rPr>
          <w:rStyle w:val="Nessuno"/>
          <w:rFonts w:ascii="Verdana" w:eastAsia="Verdana" w:hAnsi="Verdana" w:cs="Verdana"/>
          <w:sz w:val="20"/>
          <w:szCs w:val="20"/>
          <w:shd w:val="clear" w:color="auto" w:fill="FFFFFF"/>
        </w:rPr>
      </w:pPr>
    </w:p>
    <w:p w14:paraId="4732C681" w14:textId="77777777" w:rsidR="007F52C8" w:rsidRDefault="00876328">
      <w:pPr>
        <w:spacing w:line="276" w:lineRule="auto"/>
        <w:jc w:val="both"/>
      </w:pPr>
      <w:r>
        <w:rPr>
          <w:rStyle w:val="Nessuno"/>
          <w:rFonts w:ascii="Verdana" w:hAnsi="Verdana"/>
          <w:i/>
          <w:iCs/>
          <w:sz w:val="16"/>
          <w:szCs w:val="16"/>
        </w:rPr>
        <w:t>Expo 2025 si terrà a Osaka dal 13 aprile al 13 ottobre 2025 e ha per tema “Progettare la società del futuro per le nostre vite”. Il Padiglione Italia, progettato dallo studio MCA - Mario Cucinella Architects, lo interpreta con “L’Arte Rigenera la Vita”.</w:t>
      </w:r>
    </w:p>
    <w:sectPr w:rsidR="007F52C8">
      <w:headerReference w:type="even" r:id="rId12"/>
      <w:headerReference w:type="default" r:id="rId13"/>
      <w:footerReference w:type="even" r:id="rId14"/>
      <w:footerReference w:type="default" r:id="rId15"/>
      <w:headerReference w:type="first" r:id="rId16"/>
      <w:footerReference w:type="first" r:id="rId17"/>
      <w:pgSz w:w="11900" w:h="16840"/>
      <w:pgMar w:top="3686" w:right="2268" w:bottom="2268" w:left="2268" w:header="56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A8E1C" w14:textId="77777777" w:rsidR="00876328" w:rsidRDefault="00876328">
      <w:pPr>
        <w:spacing w:after="0" w:line="240" w:lineRule="auto"/>
      </w:pPr>
      <w:r>
        <w:separator/>
      </w:r>
    </w:p>
  </w:endnote>
  <w:endnote w:type="continuationSeparator" w:id="0">
    <w:p w14:paraId="6817C9E2" w14:textId="77777777" w:rsidR="00876328" w:rsidRDefault="00876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C8F3F" w14:textId="77777777" w:rsidR="00ED0464" w:rsidRDefault="00ED04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33DE" w14:textId="77777777" w:rsidR="007F52C8" w:rsidRDefault="00876328">
    <w:pPr>
      <w:spacing w:after="0" w:line="240" w:lineRule="auto"/>
      <w:jc w:val="center"/>
      <w:rPr>
        <w:rFonts w:ascii="Verdana" w:eastAsia="Verdana" w:hAnsi="Verdana" w:cs="Verdana"/>
        <w:color w:val="424142"/>
        <w:sz w:val="16"/>
        <w:szCs w:val="16"/>
        <w:u w:color="424142"/>
      </w:rPr>
    </w:pPr>
    <w:r>
      <w:rPr>
        <w:rFonts w:ascii="Verdana" w:hAnsi="Verdana"/>
        <w:color w:val="424142"/>
        <w:sz w:val="16"/>
        <w:szCs w:val="16"/>
        <w:u w:color="424142"/>
      </w:rPr>
      <w:t>Commissariato Generale dell’Italia per Expo 2025 Osaka</w:t>
    </w:r>
  </w:p>
  <w:p w14:paraId="3AEC905C" w14:textId="77777777" w:rsidR="007F52C8" w:rsidRDefault="00876328">
    <w:pPr>
      <w:spacing w:after="0" w:line="240" w:lineRule="auto"/>
      <w:jc w:val="center"/>
      <w:rPr>
        <w:rFonts w:ascii="Verdana" w:eastAsia="Verdana" w:hAnsi="Verdana" w:cs="Verdana"/>
        <w:color w:val="424142"/>
        <w:sz w:val="16"/>
        <w:szCs w:val="16"/>
        <w:u w:color="424142"/>
      </w:rPr>
    </w:pPr>
    <w:r>
      <w:rPr>
        <w:rFonts w:ascii="Verdana" w:hAnsi="Verdana"/>
        <w:color w:val="424142"/>
        <w:sz w:val="16"/>
        <w:szCs w:val="16"/>
        <w:u w:color="424142"/>
      </w:rPr>
      <w:t>Piazzale della Farnesina, 1 I 00135 Roma I T +39 06 36915300</w:t>
    </w:r>
  </w:p>
  <w:p w14:paraId="206AE28E" w14:textId="77777777" w:rsidR="007F52C8" w:rsidRDefault="00876328">
    <w:pPr>
      <w:spacing w:after="0" w:line="240" w:lineRule="auto"/>
      <w:jc w:val="center"/>
    </w:pPr>
    <w:hyperlink r:id="rId1" w:history="1">
      <w:r>
        <w:rPr>
          <w:rStyle w:val="Hyperlink0"/>
        </w:rPr>
        <w:t>www.italyexpo2025osaka.it</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F2AB4" w14:textId="77777777" w:rsidR="00ED0464" w:rsidRDefault="00ED04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5AC4B" w14:textId="77777777" w:rsidR="00876328" w:rsidRDefault="00876328">
      <w:pPr>
        <w:spacing w:after="0" w:line="240" w:lineRule="auto"/>
      </w:pPr>
      <w:r>
        <w:separator/>
      </w:r>
    </w:p>
  </w:footnote>
  <w:footnote w:type="continuationSeparator" w:id="0">
    <w:p w14:paraId="332810C5" w14:textId="77777777" w:rsidR="00876328" w:rsidRDefault="00876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80BF8" w14:textId="77777777" w:rsidR="00ED0464" w:rsidRDefault="00ED046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EE866" w14:textId="77777777" w:rsidR="007F52C8" w:rsidRDefault="00876328">
    <w:pPr>
      <w:tabs>
        <w:tab w:val="center" w:pos="4513"/>
        <w:tab w:val="right" w:pos="7344"/>
      </w:tabs>
      <w:spacing w:after="0" w:line="276" w:lineRule="auto"/>
      <w:jc w:val="both"/>
    </w:pPr>
    <w:r>
      <w:rPr>
        <w:noProof/>
      </w:rPr>
      <w:drawing>
        <wp:anchor distT="152400" distB="152400" distL="152400" distR="152400" simplePos="0" relativeHeight="251658240" behindDoc="1" locked="0" layoutInCell="1" allowOverlap="1" wp14:anchorId="09807321" wp14:editId="13082A8F">
          <wp:simplePos x="0" y="0"/>
          <wp:positionH relativeFrom="page">
            <wp:posOffset>228600</wp:posOffset>
          </wp:positionH>
          <wp:positionV relativeFrom="page">
            <wp:posOffset>-579755</wp:posOffset>
          </wp:positionV>
          <wp:extent cx="7624367" cy="10776531"/>
          <wp:effectExtent l="0" t="0" r="0" b="0"/>
          <wp:wrapNone/>
          <wp:docPr id="1073741825" name="officeArt object" descr="A black background with red and green squares&#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black background with red and green squaresDescription automatically generated" descr="A black background with red and green squaresDescription automatically generated"/>
                  <pic:cNvPicPr>
                    <a:picLocks noChangeAspect="1"/>
                  </pic:cNvPicPr>
                </pic:nvPicPr>
                <pic:blipFill>
                  <a:blip r:embed="rId1"/>
                  <a:stretch>
                    <a:fillRect/>
                  </a:stretch>
                </pic:blipFill>
                <pic:spPr>
                  <a:xfrm>
                    <a:off x="0" y="0"/>
                    <a:ext cx="7624367" cy="10776531"/>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275C67AE" wp14:editId="1F024FC6">
          <wp:simplePos x="0" y="0"/>
          <wp:positionH relativeFrom="page">
            <wp:posOffset>1706880</wp:posOffset>
          </wp:positionH>
          <wp:positionV relativeFrom="page">
            <wp:posOffset>579120</wp:posOffset>
          </wp:positionV>
          <wp:extent cx="2169889" cy="455930"/>
          <wp:effectExtent l="0" t="0" r="0" b="0"/>
          <wp:wrapNone/>
          <wp:docPr id="1073741826" name="officeArt object" descr="image1.png"/>
          <wp:cNvGraphicFramePr/>
          <a:graphic xmlns:a="http://schemas.openxmlformats.org/drawingml/2006/main">
            <a:graphicData uri="http://schemas.openxmlformats.org/drawingml/2006/picture">
              <pic:pic xmlns:pic="http://schemas.openxmlformats.org/drawingml/2006/picture">
                <pic:nvPicPr>
                  <pic:cNvPr id="1073741826" name="image1.png" descr="image1.png"/>
                  <pic:cNvPicPr>
                    <a:picLocks noChangeAspect="1"/>
                  </pic:cNvPicPr>
                </pic:nvPicPr>
                <pic:blipFill>
                  <a:blip r:embed="rId2"/>
                  <a:stretch>
                    <a:fillRect/>
                  </a:stretch>
                </pic:blipFill>
                <pic:spPr>
                  <a:xfrm>
                    <a:off x="0" y="0"/>
                    <a:ext cx="2169889" cy="455930"/>
                  </a:xfrm>
                  <a:prstGeom prst="rect">
                    <a:avLst/>
                  </a:prstGeom>
                  <a:ln w="12700" cap="flat">
                    <a:noFill/>
                    <a:miter lim="400000"/>
                  </a:ln>
                  <a:effectLst/>
                </pic:spPr>
              </pic:pic>
            </a:graphicData>
          </a:graphic>
        </wp:anchor>
      </w:drawing>
    </w:r>
    <w:r>
      <w:rPr>
        <w:noProof/>
      </w:rPr>
      <w:drawing>
        <wp:anchor distT="152400" distB="152400" distL="152400" distR="152400" simplePos="0" relativeHeight="251660288" behindDoc="1" locked="0" layoutInCell="1" allowOverlap="1" wp14:anchorId="36BB1AB0" wp14:editId="42FB932A">
          <wp:simplePos x="0" y="0"/>
          <wp:positionH relativeFrom="page">
            <wp:posOffset>4180205</wp:posOffset>
          </wp:positionH>
          <wp:positionV relativeFrom="page">
            <wp:posOffset>401321</wp:posOffset>
          </wp:positionV>
          <wp:extent cx="1447800" cy="611294"/>
          <wp:effectExtent l="0" t="0" r="0" b="0"/>
          <wp:wrapNone/>
          <wp:docPr id="1073741827" name="officeArt object" descr="image3.png"/>
          <wp:cNvGraphicFramePr/>
          <a:graphic xmlns:a="http://schemas.openxmlformats.org/drawingml/2006/main">
            <a:graphicData uri="http://schemas.openxmlformats.org/drawingml/2006/picture">
              <pic:pic xmlns:pic="http://schemas.openxmlformats.org/drawingml/2006/picture">
                <pic:nvPicPr>
                  <pic:cNvPr id="1073741827" name="image3.png" descr="image3.png"/>
                  <pic:cNvPicPr>
                    <a:picLocks noChangeAspect="1"/>
                  </pic:cNvPicPr>
                </pic:nvPicPr>
                <pic:blipFill>
                  <a:blip r:embed="rId3"/>
                  <a:stretch>
                    <a:fillRect/>
                  </a:stretch>
                </pic:blipFill>
                <pic:spPr>
                  <a:xfrm>
                    <a:off x="0" y="0"/>
                    <a:ext cx="1447800" cy="611294"/>
                  </a:xfrm>
                  <a:prstGeom prst="rect">
                    <a:avLst/>
                  </a:prstGeom>
                  <a:ln w="12700" cap="flat">
                    <a:noFill/>
                    <a:miter lim="400000"/>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B94DF" w14:textId="77777777" w:rsidR="00ED0464" w:rsidRDefault="00ED046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2C8"/>
    <w:rsid w:val="00100D4C"/>
    <w:rsid w:val="00262D3F"/>
    <w:rsid w:val="00264C14"/>
    <w:rsid w:val="00306BB8"/>
    <w:rsid w:val="004172A8"/>
    <w:rsid w:val="007151D3"/>
    <w:rsid w:val="007F52C8"/>
    <w:rsid w:val="00822492"/>
    <w:rsid w:val="00876328"/>
    <w:rsid w:val="00ED0464"/>
    <w:rsid w:val="00FA3F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5FE5F9"/>
  <w15:docId w15:val="{73D1C331-9EF4-469B-BFFF-9248FEB13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Nessuno">
    <w:name w:val="Nessuno"/>
  </w:style>
  <w:style w:type="character" w:customStyle="1" w:styleId="Hyperlink0">
    <w:name w:val="Hyperlink.0"/>
    <w:basedOn w:val="Nessuno"/>
    <w:rPr>
      <w:rFonts w:ascii="Verdana" w:eastAsia="Verdana" w:hAnsi="Verdana" w:cs="Verdana"/>
      <w:outline w:val="0"/>
      <w:color w:val="424142"/>
      <w:sz w:val="16"/>
      <w:szCs w:val="16"/>
      <w:u w:val="single" w:color="424142"/>
    </w:rPr>
  </w:style>
  <w:style w:type="character" w:customStyle="1" w:styleId="Hyperlink1">
    <w:name w:val="Hyperlink.1"/>
    <w:basedOn w:val="Nessuno"/>
    <w:rPr>
      <w:rFonts w:ascii="Verdana" w:eastAsia="Verdana" w:hAnsi="Verdana" w:cs="Verdana"/>
      <w:outline w:val="0"/>
      <w:color w:val="1155CC"/>
      <w:sz w:val="20"/>
      <w:szCs w:val="20"/>
      <w:u w:val="single" w:color="1155CC"/>
    </w:rPr>
  </w:style>
  <w:style w:type="character" w:customStyle="1" w:styleId="Hyperlink2">
    <w:name w:val="Hyperlink.2"/>
    <w:basedOn w:val="Nessuno"/>
    <w:rPr>
      <w:outline w:val="0"/>
      <w:color w:val="1155CC"/>
      <w:sz w:val="20"/>
      <w:szCs w:val="20"/>
      <w:u w:val="single" w:color="1155CC"/>
    </w:rPr>
  </w:style>
  <w:style w:type="paragraph" w:styleId="Intestazione">
    <w:name w:val="header"/>
    <w:basedOn w:val="Normale"/>
    <w:link w:val="IntestazioneCarattere"/>
    <w:uiPriority w:val="99"/>
    <w:unhideWhenUsed/>
    <w:rsid w:val="00ED04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0464"/>
    <w:rPr>
      <w:rFonts w:ascii="Calibri" w:hAnsi="Calibri" w:cs="Arial Unicode MS"/>
      <w:color w:val="000000"/>
      <w:sz w:val="22"/>
      <w:szCs w:val="22"/>
      <w:u w:color="000000"/>
    </w:rPr>
  </w:style>
  <w:style w:type="paragraph" w:styleId="Pidipagina">
    <w:name w:val="footer"/>
    <w:basedOn w:val="Normale"/>
    <w:link w:val="PidipaginaCarattere"/>
    <w:uiPriority w:val="99"/>
    <w:unhideWhenUsed/>
    <w:rsid w:val="00ED04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0464"/>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twitter.com/alcantarasp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nstagram.com/alcantara_company/"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alcantara.com" TargetMode="External"/><Relationship Id="rId11" Type="http://schemas.openxmlformats.org/officeDocument/2006/relationships/hyperlink" Target="https://www.alcantara.com/press-area/"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youtube.com/alcantaracompany"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facebook.com/alcantara.company"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www.italyexpo2025osaka.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942</Words>
  <Characters>5375</Characters>
  <Application>Microsoft Office Word</Application>
  <DocSecurity>0</DocSecurity>
  <Lines>44</Lines>
  <Paragraphs>12</Paragraphs>
  <ScaleCrop>false</ScaleCrop>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Traviglia Federica</dc:creator>
  <cp:lastModifiedBy>Traviglia Federica</cp:lastModifiedBy>
  <cp:revision>5</cp:revision>
  <dcterms:created xsi:type="dcterms:W3CDTF">2025-03-24T15:53:00Z</dcterms:created>
  <dcterms:modified xsi:type="dcterms:W3CDTF">2025-03-25T10:11:00Z</dcterms:modified>
</cp:coreProperties>
</file>